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que menciona na Lei Municipal nº 7.433 de 03 de abril de 2025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