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dispositivos que menciona na Lei Municipal nº 7.433 de 03 de abril de 2025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