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318/2025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Desafeta da classe de bens públicos de uso comum do povo e transfere para a classe de bens dominicais a área da matricula 148.747, área institucional 01, equipamentos público comunitário do loteamento denominado Residencial Santa Joana situado neste Município e Comarca de Sumaré/SP, e autoriza o Poder executivo a aliená-la ao FAR - Fundo de Arrendamento Residencial na forma que especifica.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