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18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esafeta da classe de bens públicos de uso comum do povo e transfere para a classe de bens dominicais a área da matricula 148.747, área institucional 01, equipamentos público comunitário do loteamento denominado Residencial Santa Joana situado neste Município e Comarca de Sumaré/SP, e autoriza o Poder executivo a aliená-la ao FAR - Fundo de Arrendamento Residencial na forma que especifica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bril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