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164DEC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B6740">
        <w:rPr>
          <w:sz w:val="28"/>
          <w:szCs w:val="28"/>
        </w:rPr>
        <w:t>operação tapa buraco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E665A6">
        <w:rPr>
          <w:sz w:val="28"/>
          <w:szCs w:val="28"/>
        </w:rPr>
        <w:t xml:space="preserve">Divina </w:t>
      </w:r>
      <w:r w:rsidR="00E665A6">
        <w:rPr>
          <w:sz w:val="28"/>
          <w:szCs w:val="28"/>
        </w:rPr>
        <w:t>Candida</w:t>
      </w:r>
      <w:r w:rsidR="00E665A6">
        <w:rPr>
          <w:sz w:val="28"/>
          <w:szCs w:val="28"/>
        </w:rPr>
        <w:t xml:space="preserve"> Cabral, 53</w:t>
      </w:r>
      <w:r w:rsidR="00DB6740">
        <w:rPr>
          <w:sz w:val="28"/>
          <w:szCs w:val="28"/>
        </w:rPr>
        <w:t xml:space="preserve">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244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38D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2025-04-28T15:33:00Z</cp:lastPrinted>
  <dcterms:created xsi:type="dcterms:W3CDTF">2025-04-28T15:35:00Z</dcterms:created>
  <dcterms:modified xsi:type="dcterms:W3CDTF">2025-04-28T15:35:00Z</dcterms:modified>
</cp:coreProperties>
</file>