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319268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208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552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0793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634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10833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9114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