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1192" w:rsidRPr="00701192" w:rsidP="00701192" w14:paraId="28DEC158" w14:textId="149FA5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0119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0119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01192">
        <w:rPr>
          <w:rFonts w:ascii="Bookman Old Style" w:hAnsi="Bookman Old Style" w:cs="Arial"/>
          <w:sz w:val="24"/>
          <w:szCs w:val="24"/>
        </w:rPr>
        <w:t xml:space="preserve"> de manutenção nas imediações da USF Bordon.</w:t>
      </w:r>
    </w:p>
    <w:p w:rsidR="00701192" w:rsidRPr="00701192" w:rsidP="00701192" w14:paraId="04AC20D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701192" w14:paraId="1AEAC264" w14:textId="5A73AF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01192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local comprometem a estética e a segurança para os usuários da unidade de saúde, além de favorecerem o aparecimento de insetos e animais peçonhentos. A roçagem e limpeza periódicas são essenciais para manter o ambiente limpo, organizado e seguro para 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36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119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4DB6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EE3DF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2025-04-28T14:03:00Z</dcterms:created>
  <dcterms:modified xsi:type="dcterms:W3CDTF">2025-04-28T14:03:00Z</dcterms:modified>
</cp:coreProperties>
</file>