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AC411C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F15FF">
        <w:rPr>
          <w:sz w:val="28"/>
          <w:szCs w:val="28"/>
        </w:rPr>
        <w:t xml:space="preserve">construído uma lombada na Rua </w:t>
      </w:r>
      <w:r w:rsidR="001F15FF">
        <w:rPr>
          <w:sz w:val="28"/>
          <w:szCs w:val="28"/>
        </w:rPr>
        <w:t>Guaembi</w:t>
      </w:r>
      <w:r w:rsidR="001F15FF">
        <w:rPr>
          <w:sz w:val="28"/>
          <w:szCs w:val="28"/>
        </w:rPr>
        <w:t>, em frente ao número 721</w:t>
      </w:r>
      <w:r w:rsidR="00223497">
        <w:rPr>
          <w:sz w:val="28"/>
          <w:szCs w:val="28"/>
        </w:rPr>
        <w:t xml:space="preserve"> – Parque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752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0F8F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2025-04-22T12:19:00Z</cp:lastPrinted>
  <dcterms:created xsi:type="dcterms:W3CDTF">2025-04-22T12:22:00Z</dcterms:created>
  <dcterms:modified xsi:type="dcterms:W3CDTF">2025-04-22T12:22:00Z</dcterms:modified>
</cp:coreProperties>
</file>