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305/2025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as Diretrizes Orçamentárias (LDO) para o exercício financeiro de 2026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