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as Diretrizes Orçamentárias (LDO) para o exercício financeiro de 2026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