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a ementa e  dispositivos da Lei Municipal nº 6.082, de 23 de agosto de 2018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