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300/2025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ementa e  dispositivos da Lei Municipal nº 6.082, de 23 de agosto de 2018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