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300/2025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 ementa e  dispositivos da Lei Municipal nº 6.082, de 23 de agosto de 2018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