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15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298/2025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298/2025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Política Municipal de Resíduos Sólidos com a implantação de Ecopontos no âmbito do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