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F5C8F" w:rsidP="009B3B6D" w14:paraId="52055685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F5C8F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</w:t>
      </w:r>
      <w:r w:rsidRPr="000F5C8F">
        <w:rPr>
          <w:rFonts w:ascii="Tahoma" w:hAnsi="Tahoma" w:cs="Tahoma"/>
          <w:b/>
          <w:bCs/>
          <w:sz w:val="24"/>
          <w:szCs w:val="24"/>
        </w:rPr>
        <w:t>Kotakasa</w:t>
      </w:r>
      <w:r w:rsidRPr="000F5C8F">
        <w:rPr>
          <w:rFonts w:ascii="Tahoma" w:hAnsi="Tahoma" w:cs="Tahoma"/>
          <w:b/>
          <w:bCs/>
          <w:sz w:val="24"/>
          <w:szCs w:val="24"/>
        </w:rPr>
        <w:t xml:space="preserve"> Nomura, 300, Parque Jatobá</w:t>
      </w:r>
    </w:p>
    <w:p w:rsidR="009B3B6D" w:rsidP="009B3B6D" w14:paraId="1E59A019" w14:textId="7DD43BC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36374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0F5C8F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0E9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B6F53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73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2DD1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5826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504A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2025-04-14T14:51:00Z</dcterms:created>
  <dcterms:modified xsi:type="dcterms:W3CDTF">2025-04-14T14:51:00Z</dcterms:modified>
</cp:coreProperties>
</file>