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8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294/2025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294/2025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Modifica a redação da Lei 6.451, de 30 de dezembro de 2020 e da Lei 6.451, de 30 de dezembro de 2020, aumentando o limite máximo de renda familiar do proprietário requerente de isenção do imposto sobre a propriedade de bens imóveis de 03 (três) salários mínimos para 04 (quatro) salários mínimos.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