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440C1" w:rsidP="00093AC7" w14:paraId="3BA074A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40C1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9440C1">
        <w:rPr>
          <w:rFonts w:ascii="Tahoma" w:hAnsi="Tahoma" w:cs="Tahoma"/>
          <w:b/>
          <w:sz w:val="24"/>
          <w:szCs w:val="24"/>
        </w:rPr>
        <w:t>Ricatto</w:t>
      </w:r>
      <w:r w:rsidRPr="009440C1">
        <w:rPr>
          <w:rFonts w:ascii="Tahoma" w:hAnsi="Tahoma" w:cs="Tahoma"/>
          <w:b/>
          <w:sz w:val="24"/>
          <w:szCs w:val="24"/>
        </w:rPr>
        <w:t xml:space="preserve">, esquina com a Rua Orlando Antônio de Mattos, Jardim Santa Madalena </w:t>
      </w:r>
    </w:p>
    <w:p w:rsidR="00201863" w:rsidP="00093AC7" w14:paraId="244F3776" w14:textId="076152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585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2025-04-07T17:38:00Z</dcterms:created>
  <dcterms:modified xsi:type="dcterms:W3CDTF">2025-04-07T17:38:00Z</dcterms:modified>
</cp:coreProperties>
</file>