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i20j3io8x3d3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1" w:name="bookmark=id.2vvzwwfykgyi" w:colFirst="0" w:colLast="0"/>
      <w:bookmarkEnd w:id="1"/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Adélia Belonci Tomazin, nº261 - Jardim Amélia (Nova Veneza),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bookmarkStart w:id="2" w:name="bookmark=kix.4d0j4ud80hj7" w:colFirst="0" w:colLast="0"/>
      <w:bookmarkEnd w:id="2"/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Adélia Belonci Tomazin, nº261 - Jardim Amélia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eading=h.pdjgacv4ljst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2912054" cy="1260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4252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4" w:name="_heading=h.y1jzoh25412m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386751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8591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2911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9444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30157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EzLzqFDJsZZ1mC/fiFA15Rwvw==">CgMxLjAyD2lkLjJ2dnp3d2Z5a2d5aTIOaC5pMjBqM2lvOHgzZDMyEGtpeC40ZDBqNHVkODBoajcyDmgucGRqZ2FjdjRsanN0Mg5oLnkxanpvaDI1NDEybTgAciExdWpEbVloS2Z0LU9mdTNPeUpjSFZobjFudW1ORExlbzE=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2025-02-13T12:07:00Z</dcterms:created>
</cp:coreProperties>
</file>