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22C223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74E22">
        <w:rPr>
          <w:sz w:val="28"/>
          <w:szCs w:val="28"/>
        </w:rPr>
        <w:t>operação tapa buraco</w:t>
      </w:r>
      <w:r w:rsidR="008236D2">
        <w:rPr>
          <w:sz w:val="28"/>
          <w:szCs w:val="28"/>
        </w:rPr>
        <w:t xml:space="preserve"> no cruzamento da Rua Rosana </w:t>
      </w:r>
      <w:r w:rsidR="008236D2">
        <w:rPr>
          <w:sz w:val="28"/>
          <w:szCs w:val="28"/>
        </w:rPr>
        <w:t>Fontanin</w:t>
      </w:r>
      <w:r w:rsidR="008236D2">
        <w:rPr>
          <w:sz w:val="28"/>
          <w:szCs w:val="28"/>
        </w:rPr>
        <w:t xml:space="preserve"> com a Avenida Promac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591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290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2025-04-07T15:12:00Z</cp:lastPrinted>
  <dcterms:created xsi:type="dcterms:W3CDTF">2025-04-07T15:15:00Z</dcterms:created>
  <dcterms:modified xsi:type="dcterms:W3CDTF">2025-04-07T15:15:00Z</dcterms:modified>
</cp:coreProperties>
</file>