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B45D3A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236A0">
        <w:rPr>
          <w:sz w:val="28"/>
          <w:szCs w:val="28"/>
        </w:rPr>
        <w:t xml:space="preserve">pintura de solo no cruzamento da </w:t>
      </w:r>
      <w:r w:rsidR="00D73E15">
        <w:rPr>
          <w:sz w:val="28"/>
          <w:szCs w:val="28"/>
        </w:rPr>
        <w:t xml:space="preserve">Rua Angelino Ferreira Vinagre com a Avenida Sylvio </w:t>
      </w:r>
      <w:r w:rsidR="00D73E15">
        <w:rPr>
          <w:sz w:val="28"/>
          <w:szCs w:val="28"/>
        </w:rPr>
        <w:t>Vedovatto</w:t>
      </w:r>
      <w:r w:rsidR="00D73E15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666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109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2025-04-07T15:01:00Z</cp:lastPrinted>
  <dcterms:created xsi:type="dcterms:W3CDTF">2025-04-07T15:05:00Z</dcterms:created>
  <dcterms:modified xsi:type="dcterms:W3CDTF">2025-04-07T15:05:00Z</dcterms:modified>
</cp:coreProperties>
</file>