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21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reabilitação e socialização de animais domésticos com histórico de agressividade, após cumprirem o período de quarentena e receberem alta pelo Departamento de Zoonoses de Sumaré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rç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