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afastamento de servidores municipais para o desempenho de mandato sindica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