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afastamento de servidores municipais para o desempenho de mandato sindic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