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8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e revoga os dispositivos que menciona na Lei nº 7288/2024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