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2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e revoga os dispositivos que menciona na Lei nº 7288/2024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