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e revoga os dispositivos que menciona na Lei nº 7288/2024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