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377E8" w:rsidP="00866B6E" w14:paraId="61525EC7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A377E8">
        <w:rPr>
          <w:rFonts w:ascii="Tahoma" w:hAnsi="Tahoma" w:eastAsiaTheme="minorHAnsi" w:cs="Tahoma"/>
          <w:b/>
          <w:bCs/>
          <w:kern w:val="0"/>
          <w:lang w:eastAsia="en-US" w:bidi="ar-SA"/>
        </w:rPr>
        <w:t>Operação Cata treco na Rua Giácomo Bertolucci, número 140, Parque Bandeirantes</w:t>
      </w:r>
    </w:p>
    <w:p w:rsidR="003932AD" w:rsidP="00866B6E" w14:paraId="2853A489" w14:textId="51771AF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52A4B3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F0818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AF0818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730E50" w14:paraId="4789B21F" w14:textId="5C4815E8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3895983" cy="1800000"/>
            <wp:effectExtent l="0" t="0" r="0" b="0"/>
            <wp:docPr id="93364282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132541" name="Imagem 93364282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98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3178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6BBE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2025-03-31T13:24:00Z</cp:lastPrinted>
  <dcterms:created xsi:type="dcterms:W3CDTF">2025-03-31T13:26:00Z</dcterms:created>
  <dcterms:modified xsi:type="dcterms:W3CDTF">2025-03-31T13:26:00Z</dcterms:modified>
</cp:coreProperties>
</file>