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230C4A5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524E23" w:rsidR="00524E23">
        <w:rPr>
          <w:rFonts w:ascii="Arial" w:eastAsia="Arial" w:hAnsi="Arial" w:cs="Arial"/>
          <w:color w:val="1F1F1F"/>
          <w:sz w:val="24"/>
          <w:szCs w:val="24"/>
        </w:rPr>
        <w:t>Rua Nove de Julho, em frente ao nº 87 - Parque da Amizade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E8D9A7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24E23" w:rsidR="00524E23">
        <w:rPr>
          <w:rFonts w:ascii="Arial" w:eastAsia="Arial" w:hAnsi="Arial" w:cs="Arial"/>
          <w:b/>
          <w:bCs/>
          <w:color w:val="1F1F1F"/>
          <w:sz w:val="24"/>
          <w:szCs w:val="24"/>
        </w:rPr>
        <w:t>Rua Nove de Julho, em frente ao nº 87 - Parque da Amizade (Nova Veneza)</w:t>
      </w:r>
      <w:r w:rsidRPr="00524E23" w:rsidR="00524E23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008F787E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524E23">
        <w:rPr>
          <w:rFonts w:ascii="Arial" w:hAnsi="Arial" w:cs="Arial"/>
          <w:sz w:val="24"/>
          <w:szCs w:val="24"/>
        </w:rPr>
        <w:t>01 de abril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064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77638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2C55"/>
    <w:rsid w:val="001F4567"/>
    <w:rsid w:val="00273A22"/>
    <w:rsid w:val="002C634E"/>
    <w:rsid w:val="002F0645"/>
    <w:rsid w:val="00460A32"/>
    <w:rsid w:val="004B2CC9"/>
    <w:rsid w:val="00501C1B"/>
    <w:rsid w:val="0051286F"/>
    <w:rsid w:val="00524E23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71E0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B12BB"/>
    <w:rsid w:val="00CD6B58"/>
    <w:rsid w:val="00CE25A6"/>
    <w:rsid w:val="00CF401E"/>
    <w:rsid w:val="00D14011"/>
    <w:rsid w:val="00D212EF"/>
    <w:rsid w:val="00D30669"/>
    <w:rsid w:val="00D33EBA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2025-03-27T18:10:00Z</dcterms:created>
  <dcterms:modified xsi:type="dcterms:W3CDTF">2025-03-27T18:10:00Z</dcterms:modified>
</cp:coreProperties>
</file>