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>, a ser encaminhada ao Excelentíssimo Sr. Prefeito Municipal, para que este, junto ao setor competente, adote providências urgentes quanto à seguinte reivindicação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: Limpeza 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retirada de entulho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Três por toda sua extensão, Jardim Recanto das Arvores.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24 de março de 2025.</w:t>
      </w:r>
    </w:p>
    <w:p w:rsidR="00000000" w:rsidRPr="00000000" w:rsidP="00000000" w14:paraId="0000000A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162764562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6041108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/>
  <w:p w:rsidR="00000000" w:rsidRPr="00000000" w:rsidP="00000000" w14:paraId="00000011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D">
    <w:r w:rsidRPr="00000000">
      <w:drawing>
        <wp:inline distT="0" distB="0" distL="0" distR="0">
          <wp:extent cx="1526058" cy="534121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89618729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26073502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3520134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56750732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63877968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