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479C" w:rsidP="0059479C" w14:paraId="606FD89C" w14:textId="4F8C232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86253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E86253">
        <w:rPr>
          <w:rFonts w:ascii="Tahoma" w:hAnsi="Tahoma" w:cs="Tahoma"/>
          <w:b/>
          <w:bCs/>
          <w:sz w:val="24"/>
          <w:szCs w:val="24"/>
        </w:rPr>
        <w:t>Sinhorinha</w:t>
      </w:r>
      <w:r w:rsidRPr="00E86253">
        <w:rPr>
          <w:rFonts w:ascii="Tahoma" w:hAnsi="Tahoma" w:cs="Tahoma"/>
          <w:b/>
          <w:bCs/>
          <w:sz w:val="24"/>
          <w:szCs w:val="24"/>
        </w:rPr>
        <w:t xml:space="preserve"> Constância Soares, número 355, Parque Bandeirantes.</w:t>
      </w:r>
    </w:p>
    <w:p w:rsidR="00E86253" w:rsidP="0059479C" w14:paraId="6F6A974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76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48D0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2025-03-24T13:15:00Z</dcterms:created>
  <dcterms:modified xsi:type="dcterms:W3CDTF">2025-03-24T13:15:00Z</dcterms:modified>
</cp:coreProperties>
</file>