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 no valor de R$ 200.000,00 (duzentos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