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a obrigatoriedade de plantio e manutenção de árvores urbanas destinadas às calçadas já existentes e nas calçadas dos novos loteamentos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