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Reparos em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420 -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Reparos em Bueiro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420 - Parque das Nações.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Moradores relatam que, sempre que chove, o bueiro transborda, fazendo com que os dejetos saiam pelas tampas e atinjam as residências próximas, causando transtornos e riscos à saúde pública. Além disso, a pressão da água faz com que as tampas se levantem, aumentando ainda mais o perigo para pedestres e veículos que transitam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da situação, solicito que sejam tomadas as medidas necessárias para a solução definitiva do problema, evitando que novos episódios de transbordamento aconteçam.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março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7882697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5044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10359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7450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3208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2454902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7344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87257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