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248/2025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248/2025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Estabelece a obrigatoriedade de plantio e manutenção de árvores urbanas destinadas às calçadas já existentes e nas calçadas dos novos loteamentos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