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CONTRATAÇÃO DE CUIDADORES PARA CRIANÇAS COM DEFICIÊNCIA OU NECESSIDADES ESPECIAIS NA REDE MUNICIPAL DE ENSINO DE SUMARÉ E DÁ OUTRAS PROVIDÊNCIAS.</w:t>
      </w: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Allan Sangalli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o Poder Executivo autorizado a contratar cuidadores para crianças com deficiência ou necessidades especiais na rede municipal de ensino de Sumaré, garantindo a proporção de 1 (um) cuidador por sala que tiver crianças com necessidades especiais, com um limite máximo de 3 (três) crianças por cuidador.</w:t>
      </w: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Parágrafo único.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presença de cuidadores será definida conforme as necessidades das crianças, respeitando a proporção estabelecida no caput deste artigo e a disponibilidade de recursos.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os fins desta Lei, considera-se cuidador o profissional responsável por auxiliar alunos com deficiência ou necessidades especiais em suas atividades escolares diárias, proporcionando suporte à mobilidade, higiene, alimentação, socialização e demais necessidades individuais para sua inclusão plena no ambiente escolar.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distribuição dos cuidadores será feita conforme a demanda de cada unidade escolar, respeitando os seguintes critérios: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br/>
        <w:t>I – Número de alunos com deficiência ou necessidades especiais matriculados na unidade;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br/>
        <w:t>II – Grau de necessidade de apoio individualizado de cada estudante, conforme avaliação da equipe pedagógica e da Secretaria Municipal de Educação;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br/>
        <w:t>III – Garantia de que nenhum cuidador ficará sobrecarregado, respeitando o limite máximo de 3 (três) crianças por profissional.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poderá adotar as seguintes medidas para viabilizar a ampliação do quadro de cuidadores: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br/>
        <w:t>I – Realização de concurso público para contratação de novos profissionais;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br/>
        <w:t>II – Criação de programas de capacitação e qualificação para os cuidadores, garantindo um atendimento especializado e humanizado;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br/>
        <w:t>III – Possibilidade de firmar convênios e parcerias com instituições especializadas para o fornecimento de cuidadores qualificados.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Os cuidadores poderão passar por treinamento contínuo, com cursos de capacitação em inclusão, acessibilidade e atendimento especializado, a serem oferecidos pela Secretaria Municipal de Educação em parceria com entidades especializadas.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6º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Os recursos para a implementação desta Lei poderão ser provenientes de: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br/>
        <w:t>I – Orçamento municipal, por meio da Secretaria Municipal de Educação;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Convênios e parcerias com os governos estadual e federal;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br/>
        <w:t>III – Financiamentos e programas de inclusão educacional oferecidos por instituições públicas e privadas.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7º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esta Lei no prazo de 90 (noventa) dias a contar da sua publicação.</w:t>
      </w: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8º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2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06 de março de 2025.</w:t>
      </w:r>
    </w:p>
    <w:p w:rsidR="00000000" w:rsidRPr="00000000" w:rsidP="00000000" w14:paraId="00000028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9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</w:p>
    <w:p w:rsidR="00000000" w:rsidRPr="00000000" w:rsidP="00000000" w14:paraId="0000002B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C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180721</wp:posOffset>
            </wp:positionV>
            <wp:extent cx="2174240" cy="932180"/>
            <wp:effectExtent l="0" t="0" r="0" b="0"/>
            <wp:wrapSquare wrapText="bothSides"/>
            <wp:docPr id="169909327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36966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2D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E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F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3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  <w:r w:rsidRPr="00000000">
        <w:br w:type="page"/>
      </w: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falta de cuidadores em número suficiente na rede municipal de ensino compromete a inclusão e o desenvolvimento das crianças com deficiência ou necessidades especiais, além de sobrecarregar os profissionais já atuantes. O suporte adequado é essencial para garantir que esses alunos tenham igualdade de acesso à educação, em conformidade com a Constituição Federal e a Lei Brasileira de Inclusão da Pessoa com Deficiência.</w:t>
      </w:r>
    </w:p>
    <w:p w:rsidR="00000000" w:rsidRPr="00000000" w:rsidP="00000000" w14:paraId="00000039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presença de cuidadores capacitados melhora não apenas a experiência dos estudantes com deficiência, mas também a dinâmica escolar como um todo, permitindo que professores e demais profissionais desempenhem suas funções com mais eficácia. Além disso, a contratação e capacitação desses profissionais fortalece a inclusão social e reduz desigualdades no ambiente escolar.</w:t>
      </w:r>
    </w:p>
    <w:p w:rsidR="00000000" w:rsidRPr="00000000" w:rsidP="00000000" w14:paraId="0000003A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este projeto busca assegurar a estrutura necessária para um ensino verdadeiramente acessível, garantindo dignidade e oportunidades para todos os alunos. Contamos com o apoio dos nobres pares para sua aprovação.</w:t>
      </w: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E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fevereiro de 2025.</w:t>
      </w:r>
    </w:p>
    <w:p w:rsidR="00000000" w:rsidRPr="00000000" w:rsidP="00000000" w14:paraId="0000003F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0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179578</wp:posOffset>
            </wp:positionV>
            <wp:extent cx="2174240" cy="932180"/>
            <wp:effectExtent l="0" t="0" r="0" b="0"/>
            <wp:wrapSquare wrapText="bothSides"/>
            <wp:docPr id="169909327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07734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44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5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46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7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48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A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101600"/>
              <wp:effectExtent l="0" t="0" r="0" b="0"/>
              <wp:wrapNone/>
              <wp:docPr id="169909326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101600"/>
              <wp:effectExtent l="0" t="0" r="0" b="0"/>
              <wp:wrapNone/>
              <wp:docPr id="20137346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202540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5927" cy="10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r w:rsidRPr="00000000">
      <w:drawing>
        <wp:inline distT="0" distB="0" distL="0" distR="0">
          <wp:extent cx="1526058" cy="534121"/>
          <wp:effectExtent l="0" t="0" r="0" b="0"/>
          <wp:docPr id="16990932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6934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09326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9" name="Shape 19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3050" w="10368" stroke="1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0" name="Shape 20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1966" w="6103" stroke="1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1" name="Shape 21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6164" w="4571" stroke="1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74019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8789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">
    <w:name w:val="Heading 2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">
    <w:name w:val="Heading 3_1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">
    <w:name w:val="Heading 4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">
    <w:name w:val="Heading 5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">
    <w:name w:val="Heading 6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">
    <w:name w:val="Title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0">
    <w:name w:val="Normal_1"/>
  </w:style>
  <w:style w:type="paragraph" w:customStyle="1" w:styleId="Heading12">
    <w:name w:val="Heading 1_2"/>
    <w:basedOn w:val="Normal01"/>
    <w:next w:val="Normal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1"/>
    <w:next w:val="Normal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1"/>
    <w:next w:val="Normal0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1"/>
    <w:next w:val="Normal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1"/>
    <w:next w:val="Normal01"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1"/>
    <w:next w:val="Normal01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_0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0">
    <w:name w:val="Heading 1_0_0"/>
    <w:basedOn w:val="Normal01"/>
    <w:next w:val="Normal0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0">
    <w:name w:val="Heading 2_0_0"/>
    <w:basedOn w:val="Normal01"/>
    <w:next w:val="Normal0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0">
    <w:name w:val="Heading 3_0_0"/>
    <w:basedOn w:val="Normal01"/>
    <w:next w:val="Normal0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0">
    <w:name w:val="Heading 4_0_0"/>
    <w:basedOn w:val="Normal01"/>
    <w:next w:val="Normal0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0">
    <w:name w:val="Heading 5_0_0"/>
    <w:basedOn w:val="Normal01"/>
    <w:next w:val="Normal01"/>
    <w:pPr>
      <w:keepNext/>
      <w:keepLines/>
      <w:spacing w:before="220" w:after="40"/>
    </w:pPr>
    <w:rPr>
      <w:b/>
    </w:rPr>
  </w:style>
  <w:style w:type="paragraph" w:customStyle="1" w:styleId="Heading600">
    <w:name w:val="Heading 6_0_0"/>
    <w:basedOn w:val="Normal01"/>
    <w:next w:val="Normal0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0">
    <w:name w:val="Title_0_0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1">
    <w:name w:val="Normal_0"/>
    <w:qFormat/>
    <w:rsid w:val="000D4195"/>
  </w:style>
  <w:style w:type="paragraph" w:customStyle="1" w:styleId="Heading110">
    <w:name w:val="Heading 1_1_0"/>
    <w:basedOn w:val="Normal01"/>
    <w:next w:val="Normal0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0">
    <w:name w:val="Heading 2_1_0"/>
    <w:basedOn w:val="Normal01"/>
    <w:next w:val="Normal0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0">
    <w:name w:val="Heading 3_1_0"/>
    <w:basedOn w:val="Normal01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0">
    <w:name w:val="Heading 4_1_0"/>
    <w:basedOn w:val="Normal01"/>
    <w:next w:val="Normal0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0">
    <w:name w:val="Heading 5_1_0"/>
    <w:basedOn w:val="Normal01"/>
    <w:next w:val="Normal0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0">
    <w:name w:val="Heading 6_1_0"/>
    <w:basedOn w:val="Normal01"/>
    <w:next w:val="Normal0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0">
    <w:name w:val="Title_1_0"/>
    <w:basedOn w:val="Normal01"/>
    <w:next w:val="Normal0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1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1"/>
    <w:next w:val="Normal0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">
    <w:name w:val="Subtitle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4">
    <w:name w:val="Subtitle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u+egrfces8i2GSgDsG0/wu7oQ==">CgMxLjAyCGguZ2pkZ3hzMg5oLmo4MjlzZTI4Y3UwOTIJaC4zem55c2g3OAByITFEV084dDFmRnNjLUlmSjEwMVBUZUxla3M1VktFVW12ag==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