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fumacê contra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Santo Alberto Magno, Condomínio Coronel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essencial para combater a proliferação de mosquitos transmissores da dengue, reduzindo a incidência da doença e protegendo a saúde da população.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04 de março de 2025.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87608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2941158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9672642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5352649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84584200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432362505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15314527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