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inciso I do artigo 2º da Lei Municipal nº 6.245, de 05 de setembro de 2019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