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23516" w:rsidP="009B3B6D" w14:paraId="1B0067B6" w14:textId="7E6BA0C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86448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686448">
        <w:rPr>
          <w:rFonts w:ascii="Tahoma" w:hAnsi="Tahoma" w:cs="Tahoma"/>
          <w:b/>
          <w:bCs/>
          <w:sz w:val="24"/>
          <w:szCs w:val="24"/>
        </w:rPr>
        <w:t>Bauínias</w:t>
      </w:r>
      <w:r w:rsidRPr="00686448">
        <w:rPr>
          <w:rFonts w:ascii="Tahoma" w:hAnsi="Tahoma" w:cs="Tahoma"/>
          <w:b/>
          <w:bCs/>
          <w:sz w:val="24"/>
          <w:szCs w:val="24"/>
        </w:rPr>
        <w:t>, número 173, Parque Manoel de Vasconcelos.</w:t>
      </w:r>
    </w:p>
    <w:p w:rsidR="00686448" w:rsidP="009B3B6D" w14:paraId="1B840611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98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1E6D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2025-02-24T12:29:00Z</dcterms:created>
  <dcterms:modified xsi:type="dcterms:W3CDTF">2025-02-24T12:29:00Z</dcterms:modified>
</cp:coreProperties>
</file>