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fixação de placa ou cartaz nas repartições e logradouros públicos, assim como no transporte público, na forma específica com mensagem alusiva de crime de importunação sexu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