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190/2025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Prazo de validade indeterminado para Laudo Médico Pericial que ateste deficiências físicas, sensoriais, mentais, intelectuais, incluindo a Síndrome de Down entre outros.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