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12ª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20 de abril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81/2021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ADITIVA ao Artigo 2°, do Projeto de Lei Municipal n° 81, de 03 de março de 2021.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Regulamenta a divulgação de Relatórios Mensais sobre a qualidade da água no Município de Sumaré, e dá outras providências.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108/2021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SILVIO COLTRO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Dia do Profissional de Contabilidade no Calendário Oficial do Município de Sumaré e dá outras providências.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da criação dos espaços de lazer sejam inclusivos e que atendam todas as crianças, sem e com necessidades especiais e que apresente maior segurança para crianças com necessidades intelectuais principalmente TEA (transtorno do espectro autista)”.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72/2021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RAI DO PARAÍSO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instalação de câmeras de monitoramento e segurança nas escolas e creches de Sumaré.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NEY DO GÁS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“DIA MUNICIPAL DO INSANOS MOTO CLUBE DO BRASIL” NO CALENDÁRIO OFICIAL DE EVENTOS E DATAS COMEMORATIVAS DO MUNICÍPIO.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109/2021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SILVIO COLTRO,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“Altera e acrescenta dispositivos à Lei Municipal n° 5.942, de 27 de junho de 2017, que dispõe sobre o alinhamento e a retirada de fios em desuso e desordenada existentes em postes de energia elétrica e dá outras providências.”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