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40E44" w:rsidP="00093AC7" w14:paraId="5A0B97F5" w14:textId="633D097F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502B0">
        <w:rPr>
          <w:rFonts w:ascii="Tahoma" w:hAnsi="Tahoma" w:cs="Tahoma"/>
          <w:b/>
          <w:sz w:val="24"/>
          <w:szCs w:val="24"/>
        </w:rPr>
        <w:t>Retirada de entulhos da Rua Vinícius de Moraes, número 1019, Parque Residencial Casarão, Sumaré.</w:t>
      </w:r>
    </w:p>
    <w:p w:rsidR="003502B0" w:rsidP="00093AC7" w14:paraId="64AC803F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1C646D0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93AC7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12767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15867"/>
    <w:rsid w:val="0023265E"/>
    <w:rsid w:val="0024448F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2025-02-13T15:20:00Z</dcterms:created>
  <dcterms:modified xsi:type="dcterms:W3CDTF">2025-02-13T15:20:00Z</dcterms:modified>
</cp:coreProperties>
</file>