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A2899" w:rsidP="009B3B6D" w14:paraId="62E5DA66" w14:textId="075CBCF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172A6">
        <w:rPr>
          <w:rFonts w:ascii="Tahoma" w:hAnsi="Tahoma" w:cs="Tahoma"/>
          <w:b/>
          <w:bCs/>
          <w:sz w:val="24"/>
          <w:szCs w:val="24"/>
        </w:rPr>
        <w:t>Operação Tapa Buraco na Rua João Rohwedder Filho, número 320, Parque Residencial Casarão, Sumaré.</w:t>
      </w:r>
    </w:p>
    <w:p w:rsidR="009172A6" w:rsidP="009B3B6D" w14:paraId="7D15C9EF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225AFC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7B04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19457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1722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47B04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0B8D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969DB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69F3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2899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172A6"/>
    <w:rsid w:val="0092644E"/>
    <w:rsid w:val="00941F84"/>
    <w:rsid w:val="009425B9"/>
    <w:rsid w:val="0094267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A5A72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6B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371E0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BF5FEF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0A67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218B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2025-02-13T14:21:00Z</dcterms:created>
  <dcterms:modified xsi:type="dcterms:W3CDTF">2025-02-13T14:52:00Z</dcterms:modified>
</cp:coreProperties>
</file>