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417B" w:rsidP="009B3B6D" w14:paraId="0EA977C1" w14:textId="7CCBBA8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D0A67">
        <w:rPr>
          <w:rFonts w:ascii="Tahoma" w:hAnsi="Tahoma" w:cs="Tahoma"/>
          <w:b/>
          <w:bCs/>
          <w:sz w:val="24"/>
          <w:szCs w:val="24"/>
        </w:rPr>
        <w:t>Operação Tapa Buraco na Rua Iracema Antas de Abreu, número 311, Parque Residencial Casarão, Sumaré.</w:t>
      </w:r>
    </w:p>
    <w:p w:rsidR="00CD0A67" w:rsidP="009B3B6D" w14:paraId="00092A3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24DDB0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91B89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572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91B89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3FCE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2CBD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9D3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2025-02-13T14:53:00Z</dcterms:modified>
</cp:coreProperties>
</file>