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São Francisco de Assis</w:t>
      </w:r>
      <w:r w:rsidRPr="00000000">
        <w:rPr>
          <w:rFonts w:ascii="Arial" w:eastAsia="Arial" w:hAnsi="Arial" w:cs="Arial"/>
          <w:sz w:val="24"/>
          <w:szCs w:val="24"/>
          <w:rtl w:val="0"/>
        </w:rPr>
        <w:t>,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867 (divisa com Estrada Valêncio Calegari)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São Francisco de Assis</w:t>
      </w:r>
      <w:r w:rsidRPr="00000000">
        <w:rPr>
          <w:rFonts w:ascii="Arial" w:eastAsia="Arial" w:hAnsi="Arial" w:cs="Arial"/>
          <w:sz w:val="24"/>
          <w:szCs w:val="24"/>
          <w:rtl w:val="0"/>
        </w:rPr>
        <w:t>,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867 (divisa com Estrada Valêncio Calegari)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 à demanda da população, evitando assim danos aos veículos que transitam na via e possíveis acidentes já que os veículos precisam desviar do burraco.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342900</wp:posOffset>
            </wp:positionV>
            <wp:extent cx="2252980" cy="1038225"/>
            <wp:effectExtent l="0" t="0" r="0" b="0"/>
            <wp:wrapSquare wrapText="bothSides"/>
            <wp:docPr id="125060027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86089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994477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943156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8110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6138190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04342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412956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