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implementação, criação e regulamentação de Cooperativas de Catadores de Materiais Recicláveis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