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INCLUSÃO DA TIPAGEM SANGUÍNEA E FATOR RH NO UNIFORME E/OU CAPACETE DOS MOTOBOYS E MOTOTAXISTAS NO MUNICÍPIO DE SUMARÉ, E DÁ OUTRS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