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151/2025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151/2025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INCLUSÃO DA TIPAGEM SANGUÍNEA E FATOR RH NO UNIFORME E/OU CAPACETE DOS MOTOBOYS E MOTOTAXISTAS NO MUNICÍPIO DE SUMARÉ, E DÁ OUTRS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