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31C235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 tapa-buraco, e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continuação</w:t>
      </w:r>
      <w:r w:rsidR="00093845">
        <w:rPr>
          <w:rFonts w:ascii="Arial" w:hAnsi="Arial" w:cs="Arial"/>
          <w:sz w:val="24"/>
          <w:szCs w:val="24"/>
        </w:rPr>
        <w:t xml:space="preserve"> do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Avenida </w:t>
      </w:r>
      <w:r w:rsidRPr="007F282E">
        <w:rPr>
          <w:rFonts w:ascii="Arial" w:hAnsi="Arial" w:cs="Arial"/>
          <w:sz w:val="24"/>
          <w:szCs w:val="24"/>
        </w:rPr>
        <w:t>Amália</w:t>
      </w:r>
      <w:r w:rsidRPr="007F282E">
        <w:rPr>
          <w:rFonts w:ascii="Arial" w:hAnsi="Arial" w:cs="Arial"/>
          <w:sz w:val="24"/>
          <w:szCs w:val="24"/>
        </w:rPr>
        <w:t xml:space="preserve"> Demo Franceschini</w:t>
      </w:r>
      <w:r>
        <w:rPr>
          <w:rFonts w:ascii="Arial" w:hAnsi="Arial" w:cs="Arial"/>
          <w:sz w:val="24"/>
          <w:szCs w:val="24"/>
        </w:rPr>
        <w:t xml:space="preserve">, </w:t>
      </w:r>
      <w:r w:rsidRPr="007F282E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393 Jardim São Domingos.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400FC12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</w:t>
      </w:r>
      <w:r w:rsidRPr="0080774E" w:rsidR="00F54C90">
        <w:rPr>
          <w:rFonts w:cstheme="minorHAnsi"/>
          <w:sz w:val="28"/>
          <w:szCs w:val="28"/>
        </w:rPr>
        <w:t>pedestres</w:t>
      </w:r>
      <w:r w:rsidR="00D86233">
        <w:rPr>
          <w:rFonts w:cstheme="minorHAnsi"/>
          <w:sz w:val="28"/>
          <w:szCs w:val="28"/>
        </w:rPr>
        <w:t>, vistos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9EF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771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E20A2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5CE4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736EC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8472A"/>
    <w:rsid w:val="00E96A92"/>
    <w:rsid w:val="00ED0D2E"/>
    <w:rsid w:val="00F04D36"/>
    <w:rsid w:val="00F04E58"/>
    <w:rsid w:val="00F064F4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</cp:revision>
  <cp:lastPrinted>2021-05-18T12:28:00Z</cp:lastPrinted>
  <dcterms:created xsi:type="dcterms:W3CDTF">2025-02-05T14:25:00Z</dcterms:created>
  <dcterms:modified xsi:type="dcterms:W3CDTF">2025-02-05T17:08:00Z</dcterms:modified>
</cp:coreProperties>
</file>