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E34D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95DC4">
        <w:rPr>
          <w:rFonts w:ascii="Tahoma" w:hAnsi="Tahoma" w:cs="Tahoma"/>
          <w:b/>
          <w:bCs/>
          <w:sz w:val="24"/>
          <w:szCs w:val="24"/>
        </w:rPr>
        <w:t>Rua Joaquim Gualberto de Carvalho</w:t>
      </w:r>
      <w:r w:rsidR="006A412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995DC4">
        <w:rPr>
          <w:rFonts w:ascii="Tahoma" w:hAnsi="Tahoma" w:cs="Tahoma"/>
          <w:sz w:val="24"/>
          <w:szCs w:val="24"/>
        </w:rPr>
        <w:t>386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95DC4">
        <w:rPr>
          <w:rFonts w:ascii="Tahoma" w:hAnsi="Tahoma" w:cs="Tahoma"/>
          <w:b/>
          <w:bCs/>
          <w:sz w:val="24"/>
          <w:szCs w:val="24"/>
        </w:rPr>
        <w:t>Parque Bandeirantes</w:t>
      </w:r>
      <w:r w:rsidR="00B814C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6F2F56A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5DC4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99996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108DB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06076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0876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2323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4C8E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1C8E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95DC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13F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2025-02-06T15:14:00Z</dcterms:created>
  <dcterms:modified xsi:type="dcterms:W3CDTF">2025-02-06T15:14:00Z</dcterms:modified>
</cp:coreProperties>
</file>