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133/2025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obrigatoriedade de permanência de salva-vidas de piscinas durante o seu funcionamento em escolas, creches, centros educacionais e esportivos, balneários e similares da rede pública e privada em todo município,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