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obrigatoriedade de permanência de salva-vidas de piscinas durante o seu funcionamento em escolas, creches, centros educacionais e esportivos, balneários e similares da rede pública e privada em todo município,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